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eastAsia="ru-RU"/>
        </w:rPr>
        <w:t xml:space="preserve">Вопрос 5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r>
    </w:p>
    <w:p>
      <w:pPr>
        <w:ind w:firstLine="709"/>
        <w:jc w:val="center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Государственная поддержка работодателей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при трудоустройстве отдельных категорий граждан в 2026 году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2026 году Россия продолжает 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ктивно развивать механизмы государственной поддержки работодателей, направленные на стимулирование трудоустройства граждан, сталкивающихся с особыми сложностями на рынке труда. Ключевая роль в реализации этих мер принадлежит Социальному фонду России (СФР).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Особое значение для понимания текущей политики имеют приказы СФР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29 декабря 2024 года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№ 2712 и № 2714.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Оба приказа вступили в силу 1 января 2025 года и действуют до 1 января 2027 года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формируя основу для реализации программ поддержки в 2026 году. Данный доклад анализирует государственную поддержку работодателей при трудоустройстве отдельных категорий граждан, опираясь на принципы, заложенные в упомянутых приказах СФР.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Приказ СФР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№ 2712 регламентиру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т порядок предоставления субсидий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в целях создания (оборудования) рабочих мест для трудоустройства инвалидов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Цель предоставления субсидии: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Оказание государственной поддержки юридическим лицам и индивидуальным предпринимателям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 оборудование рабочих мест для трудоустройства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51"/>
        <w:numPr>
          <w:ilvl w:val="0"/>
          <w:numId w:val="10"/>
        </w:numPr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инвалидов I и II групп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51"/>
        <w:numPr>
          <w:ilvl w:val="0"/>
          <w:numId w:val="10"/>
        </w:numPr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ветеранов боевых действий, имеющих инвалидность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51"/>
        <w:numPr>
          <w:ilvl w:val="0"/>
          <w:numId w:val="10"/>
        </w:numPr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ветеранов боевых действий, получивших инвалидность в ходе участия (содействия выполнению задач) в специальной военной операции, трудовой договор с которыми был возобновлен в соответствии со </w:t>
      </w:r>
      <w:hyperlink r:id="rId9" w:tooltip="https://normativ.kontur.ru/document?moduleId=1&amp;documentId=504709#h9635" w:anchor="h9635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статьей 351.7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Трудового кодекса Российской Федерации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 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озмещени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следующих расходов: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51"/>
        <w:numPr>
          <w:ilvl w:val="0"/>
          <w:numId w:val="5"/>
        </w:num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приобретение оборудования для оснащения рабочих мест для трудоустройства </w:t>
      </w:r>
      <w:bookmarkStart w:id="0" w:name="l108"/>
      <w:r/>
      <w:bookmarkEnd w:id="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инвалидов, в том числе основное и вспомогательное оборудование, технические приспособления, рабочая и специальная мебель, средства для создания благоприятных условий для работы инвалида;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51"/>
        <w:numPr>
          <w:ilvl w:val="0"/>
          <w:numId w:val="5"/>
        </w:num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монтаж и установку приобретенного оборудования для оснащения рабочих мест для трудоустройства инвалидов;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51"/>
        <w:numPr>
          <w:ilvl w:val="0"/>
          <w:numId w:val="5"/>
        </w:num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оборудование рабочих мест для трудоустройства инвалидов по месту проживания </w:t>
      </w:r>
      <w:bookmarkStart w:id="1" w:name="l112"/>
      <w:r/>
      <w:bookmarkEnd w:id="1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(надомный </w:t>
      </w:r>
      <w:bookmarkStart w:id="2" w:name="l109"/>
      <w:r/>
      <w:bookmarkEnd w:id="2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труд) при условии оформления надомного труда в соответствии с Трудовым </w:t>
      </w:r>
      <w:hyperlink r:id="rId10" w:tooltip="https://normativ.kontur.ru/document?moduleId=1&amp;documentId=504709#l0" w:anchor="l0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кодексом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Российской Федерации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Основные т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ребования к получателям субсидии</w:t>
      </w:r>
      <w:bookmarkStart w:id="3" w:name="l17"/>
      <w:r/>
      <w:bookmarkEnd w:id="3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pStyle w:val="651"/>
        <w:numPr>
          <w:ilvl w:val="0"/>
          <w:numId w:val="6"/>
        </w:num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получатель субсидии не является иностранным юридическим лицом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51"/>
        <w:numPr>
          <w:ilvl w:val="0"/>
          <w:numId w:val="6"/>
        </w:num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получатель субсидии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51"/>
        <w:numPr>
          <w:ilvl w:val="0"/>
          <w:numId w:val="6"/>
        </w:num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 получателя субсидии отсутствует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неисполненной обязанности по уплате налогов, сборов, страховых взносов, пеней, штрафов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возврату в бюджет бюджетной системы Российской Федерации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51"/>
        <w:numPr>
          <w:ilvl w:val="0"/>
          <w:numId w:val="6"/>
        </w:num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ключение трудового договора с инвалидом или его возобновление с ветеранами боевых действий, получившими инвалидность в ходе участия (содействия выполнению задач) в специальной военной операции, трудовой договор с которыми был возобновлен в соответствии со </w:t>
      </w:r>
      <w:hyperlink r:id="rId11" w:tooltip="https://normativ.kontur.ru/document?moduleId=1&amp;documentId=504709#h9635" w:anchor="h9635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статьей 351.7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Трудового кодекса Российской Федерации, на срок не менее 9 месяцев;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51"/>
        <w:numPr>
          <w:ilvl w:val="0"/>
          <w:numId w:val="6"/>
        </w:num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заключение трудового договора с инвалидом на условиях полного рабочего дня с учетом продолжительности, установленной для данной категории работников;</w:t>
      </w:r>
      <w:bookmarkStart w:id="4" w:name="l131"/>
      <w:r/>
      <w:bookmarkEnd w:id="4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51"/>
        <w:numPr>
          <w:ilvl w:val="0"/>
          <w:numId w:val="6"/>
        </w:num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обеспечение оплаты труда инвалида в размере не менее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минимального размера оплаты труда.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Условия и порядок предоставления субсидии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Предоставление субсидий осуществляется Фондом по результатам отбора получателей субсидии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включенных в реестр,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на основании представленных органами службы занятости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ведений о работодателях, трудоустроивших инвалидов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Работодатель формирует З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аявление и Сведения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по каждому трудоустроенному инвалиду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Социальный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Фонд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России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осуществляет:</w:t>
      </w:r>
      <w:bookmarkStart w:id="5" w:name="l345"/>
      <w:r/>
      <w:bookmarkStart w:id="6" w:name="l62"/>
      <w:r/>
      <w:bookmarkEnd w:id="5"/>
      <w:r/>
      <w:bookmarkEnd w:id="6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51"/>
        <w:numPr>
          <w:ilvl w:val="0"/>
          <w:numId w:val="7"/>
        </w:num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проверку сведений о работодателе и трудоустроенных инвалидах на предмет включения сведений о них в состав сведений о работодателях, трудоустроивших инвалидов, а также о трудоустроенных инвалидах;</w:t>
      </w:r>
      <w:bookmarkStart w:id="7" w:name="l287"/>
      <w:r/>
      <w:bookmarkEnd w:id="7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51"/>
        <w:numPr>
          <w:ilvl w:val="0"/>
          <w:numId w:val="7"/>
        </w:num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идентификацию трудоустроенных инвалидов и проверку факта их трудоустройства у работодателя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отсутствии замечаний Фонд включает работодателя в реестр и в течение 10 рабочих дней осуществляет перечисление субсидии.</w:t>
      </w:r>
      <w:bookmarkStart w:id="8" w:name="l162"/>
      <w:r/>
      <w:bookmarkEnd w:id="8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9" w:name="l290"/>
      <w:r/>
      <w:bookmarkEnd w:id="9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Предоставление субсидии при организации работодателем одного рабочего места для трудоустройства инвалида осуществляется в размере части понесенных затрат, но не более 200,00 тыс. рублей.</w:t>
      </w:r>
      <w:bookmarkStart w:id="10" w:name="l156"/>
      <w:r/>
      <w:bookmarkEnd w:id="10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1" w:name="l291"/>
      <w:r/>
      <w:bookmarkEnd w:id="11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приобретения оборудования или осуществления работ, необходимых для созда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ния нескольких рабочих мест для трудоустройства нескольких инвалидов одновременно, работодатель вправе обратиться за возмещением части расходов при условии расчета предоставляемой субсидии в размере, не превышающем 200,00 тыс. рублей на одно рабочее место.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целях обеспечения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закрепляемости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трудоустроенных инвалидов </w:t>
      </w:r>
      <w:bookmarkStart w:id="12" w:name="l347"/>
      <w:r/>
      <w:bookmarkEnd w:id="12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 созданном (об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орудованном) рабочем месте на период не менее 9 месяцев из 12, в случае расторжения трудового договора с инвалидом, трудоустроенным на созданное (оборудованное) рабочее место, за которое ранее было получено частичное возмещение затрат, работодатель вправе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заключить трудовой договор с иным инвалидом, для его трудоустройства на созданное (оборудованное) рабочее место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Заявление работодателя на предоставление субсидии должно быть направлено в орган службы занятости в течение трех месяцев с даты подписания трудово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го договора с инвалидом, трудоустроенным на оборудованное рабочее место (возобновления трудового договора с ветеранами боевых действий, получившими инвалидность в ходе участия (содействия выполнению задач) в специальной военной операции, в соответствии со </w:t>
      </w:r>
      <w:hyperlink r:id="rId12" w:tooltip="https://normativ.kontur.ru/document?moduleId=1&amp;documentId=504709#h9635" w:anchor="h9635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статьей 351.7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Трудового кодекса Российской Федерации).</w:t>
      </w:r>
      <w:bookmarkStart w:id="13" w:name="l363"/>
      <w:r/>
      <w:bookmarkEnd w:id="13"/>
      <w:r/>
      <w:r>
        <w:rPr>
          <w:lang w:eastAsia="ru-RU"/>
        </w:rPr>
      </w:r>
    </w:p>
    <w:p>
      <w:pPr>
        <w:pStyle w:val="647"/>
        <w:ind w:firstLine="709"/>
        <w:jc w:val="both"/>
        <w:spacing w:before="0" w:beforeAutospacing="0" w:after="300" w:afterAutospacing="0"/>
        <w:shd w:val="clear" w:color="auto" w:fill="ffffff"/>
        <w:rPr>
          <w:color w:val="000000"/>
        </w:rPr>
      </w:pPr>
      <w:r>
        <w:rPr>
          <w:color w:val="000000"/>
        </w:rPr>
        <w:t xml:space="preserve">Субсидия предоставляется при трудоустройстве инвалидов на созданные (оборудованные) рабочие места в соответствии с рекомендациями индивидуальной программы реабилитации или </w:t>
      </w:r>
      <w:r>
        <w:rPr>
          <w:color w:val="000000"/>
        </w:rPr>
        <w:t xml:space="preserve">абилитации</w:t>
      </w:r>
      <w:r>
        <w:rPr>
          <w:color w:val="000000"/>
        </w:rPr>
        <w:t xml:space="preserve"> инвалида о показанных и противопо</w:t>
      </w:r>
      <w:r>
        <w:rPr>
          <w:color w:val="000000"/>
        </w:rPr>
        <w:t xml:space="preserve">казанных видах трудовой деятельности с учетом нарушенных функций организма инвалида, обусловленных заболеваниями, последствиями травм и дефектами, разработанной в соответствии с законодательством Российской Федерации, действовавшим на момент ее разработки.</w:t>
      </w:r>
      <w:r>
        <w:rPr>
          <w:color w:val="000000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color w:val="000000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Приказ СФР № 271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4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регламентиру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т порядок предоставления субсиди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и на государственную поддержку стимулирования найма отдельных категорий граждан.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Цель предоставления субсидии: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Частичная компенсация затрат работодателя на выплату заработной платы работникам из числа трудоустроенных отдельных категорий граждан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pStyle w:val="651"/>
        <w:numPr>
          <w:ilvl w:val="0"/>
          <w:numId w:val="8"/>
        </w:num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ветераны боевых действий, принимавшие участие (содействовавшие выполнению задач) в специальной военной операции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pStyle w:val="651"/>
        <w:numPr>
          <w:ilvl w:val="0"/>
          <w:numId w:val="8"/>
        </w:num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члены семей лиц, погибших (умерших) при выполнении задач в ходе специальной военной операции (боевых действий)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pStyle w:val="651"/>
        <w:numPr>
          <w:ilvl w:val="0"/>
          <w:numId w:val="8"/>
        </w:num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лица, признанные в установленном порядке </w:t>
      </w:r>
      <w:bookmarkStart w:id="14" w:name="l310"/>
      <w:r/>
      <w:bookmarkEnd w:id="14"/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инвалидами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pStyle w:val="651"/>
        <w:numPr>
          <w:ilvl w:val="0"/>
          <w:numId w:val="8"/>
        </w:num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граждане, уволенные с военной службы, и члены их семей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pStyle w:val="651"/>
        <w:numPr>
          <w:ilvl w:val="0"/>
          <w:numId w:val="8"/>
        </w:num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лица, освобожденные из учреждений, исполняющих наказание в виде лишения свободы, и ищущие работу в течение одного года с даты освобождения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pStyle w:val="651"/>
        <w:numPr>
          <w:ilvl w:val="0"/>
          <w:numId w:val="8"/>
        </w:num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одинокие и многодетные родители, усыновители, опекуны (попечители), воспитывающие несовершеннолетних детей, детей-инвалидов)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Основные т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ребования к получателям субсидии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pStyle w:val="651"/>
        <w:numPr>
          <w:ilvl w:val="0"/>
          <w:numId w:val="6"/>
        </w:num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получатель субсидии не является иностранным юридическим лицом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51"/>
        <w:numPr>
          <w:ilvl w:val="0"/>
          <w:numId w:val="6"/>
        </w:num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получатель субсидии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51"/>
        <w:numPr>
          <w:ilvl w:val="0"/>
          <w:numId w:val="6"/>
        </w:num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 получателя субсидии отсутствует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неисполненной обязанности по уплате налогов, сборов, страховых взносов, пеней, штрафов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по возврату в бюджет бюджетной системы Российской Федерации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51"/>
        <w:numPr>
          <w:ilvl w:val="0"/>
          <w:numId w:val="6"/>
        </w:num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трудоустройство работодателем граждан на основании трудового договора, заключенного на неопределенный срок, на условиях полного рабочего дня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 учетом режима рабочего времени, установленного правилами внутреннего трудового распорядка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pStyle w:val="651"/>
        <w:numPr>
          <w:ilvl w:val="0"/>
          <w:numId w:val="6"/>
        </w:num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выплата работодателем заработной платы трудоустроенным гражданам в размере не ниже полутора величин минимального размера оплаты труда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Финансирование направлено на частичную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оплату труда работникам из числа трудоустроенных граждан; уплату налогов, сборов и страховых взносов в бюджеты бюджетной системы Российской Федерации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pStyle w:val="647"/>
        <w:ind w:firstLine="709"/>
        <w:spacing w:before="0" w:beforeAutospacing="0" w:after="300" w:afterAutospacing="0"/>
        <w:shd w:val="clear" w:color="auto" w:fill="ffffff"/>
        <w:rPr>
          <w:color w:val="000000"/>
        </w:rPr>
      </w:pPr>
      <w:r>
        <w:rPr>
          <w:color w:val="000000"/>
        </w:rPr>
        <w:t xml:space="preserve">Размер субсидии работодателям определяется как произведение величины минимального размера опл</w:t>
      </w:r>
      <w:r>
        <w:rPr>
          <w:color w:val="000000"/>
        </w:rPr>
        <w:t xml:space="preserve">аты труда, увеличенной на сумму страховых взносов в государственные внебюджетные фонды и районный коэффициент, на фактическую численность из числа отдельных категорий трудоустроенных граждан по истечении 1-го, 3-го и 6-го месяцев с даты их трудоустройства.</w:t>
      </w:r>
      <w:bookmarkStart w:id="15" w:name="l239"/>
      <w:r/>
      <w:bookmarkEnd w:id="15"/>
      <w:r>
        <w:rPr>
          <w:color w:val="000000"/>
        </w:rPr>
        <w:t xml:space="preserve"> </w:t>
      </w:r>
      <w:r>
        <w:rPr>
          <w:color w:val="000000"/>
        </w:rPr>
      </w:r>
    </w:p>
    <w:p>
      <w:pPr>
        <w:pStyle w:val="647"/>
        <w:ind w:firstLine="709"/>
        <w:spacing w:before="0" w:beforeAutospacing="0" w:after="300" w:afterAutospacing="0"/>
        <w:shd w:val="clear" w:color="auto" w:fill="ffffff"/>
        <w:rPr>
          <w:color w:val="000000"/>
        </w:rPr>
      </w:pPr>
      <w:r/>
      <w:bookmarkStart w:id="16" w:name="l444"/>
      <w:r/>
      <w:bookmarkEnd w:id="16"/>
      <w:r>
        <w:rPr>
          <w:color w:val="000000"/>
        </w:rPr>
        <w:t xml:space="preserve">Размер субсидии, предоставляемой работодателям, трудоустроившим граждан</w:t>
      </w:r>
      <w:r>
        <w:rPr>
          <w:color w:val="000000"/>
        </w:rPr>
        <w:t xml:space="preserve"> из числа лиц, признанных инвалидами, определяется как произведение размера выплаты, предусмотренной на одного трудоустроенного гражданина, на фактическую численность трудоустроенных граждан по истечении 1-го, 3-го и 6-го месяцев с даты их трудоустройства.</w:t>
      </w:r>
      <w:bookmarkStart w:id="17" w:name="l240"/>
      <w:r/>
      <w:bookmarkStart w:id="18" w:name="l316"/>
      <w:r/>
      <w:bookmarkEnd w:id="17"/>
      <w:r/>
      <w:bookmarkEnd w:id="18"/>
      <w:r>
        <w:rPr>
          <w:color w:val="000000"/>
        </w:rPr>
        <w:t xml:space="preserve"> </w:t>
      </w:r>
      <w:r>
        <w:rPr>
          <w:color w:val="000000"/>
        </w:rPr>
      </w:r>
    </w:p>
    <w:p>
      <w:pPr>
        <w:pStyle w:val="647"/>
        <w:ind w:firstLine="709"/>
        <w:jc w:val="both"/>
        <w:spacing w:before="0" w:beforeAutospacing="0" w:after="300" w:afterAutospacing="0"/>
        <w:shd w:val="clear" w:color="auto" w:fill="ffffff"/>
        <w:rPr>
          <w:color w:val="000000"/>
        </w:rPr>
      </w:pPr>
      <w:r/>
      <w:bookmarkStart w:id="19" w:name="l445"/>
      <w:r/>
      <w:bookmarkEnd w:id="19"/>
      <w:r>
        <w:rPr>
          <w:color w:val="000000"/>
        </w:rPr>
        <w:t xml:space="preserve">Выплата работодателю на одного трудоустроенного гражданина</w:t>
      </w:r>
      <w:r>
        <w:rPr>
          <w:color w:val="000000"/>
        </w:rPr>
        <w:t xml:space="preserve"> (</w:t>
      </w:r>
      <w:r>
        <w:rPr>
          <w:color w:val="000000"/>
        </w:rPr>
        <w:t xml:space="preserve">инвалида)</w:t>
      </w:r>
      <w:r>
        <w:rPr>
          <w:color w:val="000000"/>
        </w:rPr>
        <w:t xml:space="preserve"> составляет 6 минимальных размеров оплаты труда исходя из минимального размера оплаты труда, увеличенных на сумму страховых взносов в государственные внебюджетные фонды и районный коэффициент, и осуществляется в следующем порядке:</w:t>
      </w:r>
      <w:bookmarkStart w:id="20" w:name="l446"/>
      <w:r/>
      <w:bookmarkStart w:id="21" w:name="l241"/>
      <w:r/>
      <w:bookmarkEnd w:id="20"/>
      <w:r/>
      <w:bookmarkEnd w:id="21"/>
      <w:r/>
      <w:r>
        <w:rPr>
          <w:color w:val="000000"/>
        </w:rPr>
      </w:r>
    </w:p>
    <w:p>
      <w:pPr>
        <w:pStyle w:val="647"/>
        <w:numPr>
          <w:ilvl w:val="0"/>
          <w:numId w:val="9"/>
        </w:numPr>
        <w:ind w:firstLine="709"/>
        <w:jc w:val="both"/>
        <w:spacing w:before="0" w:beforeAutospacing="0" w:after="300" w:afterAutospacing="0"/>
        <w:shd w:val="clear" w:color="auto" w:fill="ffffff"/>
        <w:rPr>
          <w:color w:val="000000"/>
        </w:rPr>
      </w:pPr>
      <w:r>
        <w:rPr>
          <w:color w:val="000000"/>
        </w:rPr>
        <w:t xml:space="preserve">1 </w:t>
      </w:r>
      <w:r>
        <w:rPr>
          <w:color w:val="000000"/>
        </w:rPr>
        <w:t xml:space="preserve">минимальный размер оплаты труда, увеличенный на сумму страховых взносов в государственные внебюджетные фонды и районный коэффициент, по истечении 1</w:t>
      </w:r>
      <w:bookmarkStart w:id="22" w:name="_GoBack"/>
      <w:r/>
      <w:bookmarkEnd w:id="22"/>
      <w:r>
        <w:rPr>
          <w:color w:val="000000"/>
        </w:rPr>
        <w:t xml:space="preserve"> месяца после трудоустройства;</w:t>
      </w:r>
      <w:bookmarkStart w:id="23" w:name="l447"/>
      <w:r/>
      <w:bookmarkStart w:id="24" w:name="l242"/>
      <w:r/>
      <w:bookmarkStart w:id="25" w:name="l244"/>
      <w:r/>
      <w:bookmarkEnd w:id="23"/>
      <w:r/>
      <w:bookmarkEnd w:id="24"/>
      <w:r/>
      <w:bookmarkEnd w:id="25"/>
      <w:r/>
      <w:r>
        <w:rPr>
          <w:color w:val="000000"/>
        </w:rPr>
      </w:r>
    </w:p>
    <w:p>
      <w:pPr>
        <w:pStyle w:val="647"/>
        <w:numPr>
          <w:ilvl w:val="0"/>
          <w:numId w:val="9"/>
        </w:numPr>
        <w:ind w:firstLine="709"/>
        <w:jc w:val="both"/>
        <w:spacing w:before="0" w:beforeAutospacing="0" w:after="300" w:afterAutospacing="0"/>
        <w:shd w:val="clear" w:color="auto" w:fill="ffffff"/>
        <w:rPr>
          <w:color w:val="000000"/>
        </w:rPr>
      </w:pPr>
      <w:r>
        <w:rPr>
          <w:color w:val="000000"/>
        </w:rPr>
        <w:t xml:space="preserve">2 минимальных размера оплаты труда, увеличенных на сумму страховых взносов в государственные внебюджетные фонды и районный коэффициент, по истечении 3 месяцев после трудоустройства;</w:t>
      </w:r>
      <w:bookmarkStart w:id="26" w:name="l448"/>
      <w:r/>
      <w:bookmarkEnd w:id="26"/>
      <w:r/>
      <w:r>
        <w:rPr>
          <w:color w:val="000000"/>
        </w:rPr>
      </w:r>
    </w:p>
    <w:p>
      <w:pPr>
        <w:pStyle w:val="647"/>
        <w:numPr>
          <w:ilvl w:val="0"/>
          <w:numId w:val="9"/>
        </w:numPr>
        <w:ind w:firstLine="709"/>
        <w:jc w:val="both"/>
        <w:spacing w:before="0" w:beforeAutospacing="0" w:after="300" w:afterAutospacing="0"/>
        <w:shd w:val="clear" w:color="auto" w:fill="ffffff"/>
        <w:rPr>
          <w:color w:val="000000"/>
        </w:rPr>
      </w:pPr>
      <w:r>
        <w:rPr>
          <w:color w:val="000000"/>
        </w:rPr>
        <w:t xml:space="preserve">3 минимальных размера оплаты труда, увеличенных на сумму страховых взносов в государственные внебюджетные фонды и районный коэффициент, по истечении 6 месяцев после трудоустройства</w:t>
      </w:r>
      <w:r>
        <w:rPr>
          <w:color w:val="000000"/>
        </w:rPr>
      </w:r>
    </w:p>
    <w:p>
      <w:pPr>
        <w:pStyle w:val="651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pStyle w:val="651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Условия и порядок предоставления субсидии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целях предоставления субсидии работодатель направляет в органы службы занятости населения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аявление с приложением перечня свободных рабочих мест и вакантных должностей, на которые предполагается трудоустройство граждан, относящихся к одной из категорий.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Работодатель не ранее чем через месяц после даты, с которой трудоустроенный гражданин приступил к исполнению трудовых обязанностей в соответствии с трудовым договором, заключенным с работодателем направляет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аявление о включении его в реестр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Социальный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Фонд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России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осуществляет: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51"/>
        <w:numPr>
          <w:ilvl w:val="0"/>
          <w:numId w:val="7"/>
        </w:num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проверку сведений о работодателе и трудоустроенных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граждан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на предмет включения сведений о них в состав сведений о работодателях, трудоустроивших граждан, а также о трудоустроенных гражданах, поступивших в Фонд от органов службы занятости;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pStyle w:val="651"/>
        <w:numPr>
          <w:ilvl w:val="0"/>
          <w:numId w:val="7"/>
        </w:num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идентификацию трудоустроенных граждан, указанных в Заявлении, и проверку факта их трудоустройства у работодателя с использованием страхового номера индивидуального лицевого счета работника.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Предоставление субсидии осуществляется Фондом в течение 10 рабочих дней со дня направления Заявления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Работодатель может воспользоваться правом на получение субсидии за одного и того же трудоустроенного гражданина однократно.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Целью государственной поддержки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работодателей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является снижение затрат, связанных с наймом и адаптацией таких работников, что, в свою очередь, стимулирует работодателей к созданию и предоставлению рабочих мест.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Практическая реализация в 2026 году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2026 году, опираясь на принципы, заложенные в приказах СФР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29 декабря 2024 года № 2712 и № 2714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работодатели могут ожидать от государства активной поддержки. Важными аспектами для работодателей являются: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Активное взаимодействие с отделениями СФР: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Своевременное получение актуальной информации о действующих программах поддержки, условиях участия и необходимых документах.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Четкое соблюдение порядка подачи заявок: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Корректное оформление всех документов, предоставление достоверной информации.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Выполнение условий предоставления поддержки: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Соблюдение установленных сроков трудоустройства, выплаты заработной платы, обеспечения условий труда.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Принятые 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2024 году приказы СФР № 2712 и № 2714 служат основой для государственной поддержки работодателей при трудоустройстве отдельных категорий граждан в 2026 году. Эти меры направлены на снижение нагрузки на бизнес, стимулирование создания рабочих мест и повыше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ние уровня занятости социально уязвимых групп населения. Продолжение развития и совершенствование этих механизмов, с учетом современных тенденций и запросов рынка труда, будет способствовать укреплению социальной стабильности и экономическому росту страны.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8"/>
  </w:num>
  <w:num w:numId="5">
    <w:abstractNumId w:val="4"/>
  </w:num>
  <w:num w:numId="6">
    <w:abstractNumId w:val="2"/>
  </w:num>
  <w:num w:numId="7">
    <w:abstractNumId w:val="9"/>
  </w:num>
  <w:num w:numId="8">
    <w:abstractNumId w:val="3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40"/>
    <w:link w:val="638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37"/>
    <w:next w:val="63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40"/>
    <w:link w:val="1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40"/>
    <w:link w:val="639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37"/>
    <w:next w:val="63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4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37"/>
    <w:next w:val="63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4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37"/>
    <w:next w:val="63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4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37"/>
    <w:next w:val="63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4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37"/>
    <w:next w:val="63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4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37"/>
    <w:next w:val="63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4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37"/>
    <w:next w:val="63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40"/>
    <w:link w:val="34"/>
    <w:uiPriority w:val="10"/>
    <w:rPr>
      <w:sz w:val="48"/>
      <w:szCs w:val="48"/>
    </w:rPr>
  </w:style>
  <w:style w:type="paragraph" w:styleId="36">
    <w:name w:val="Subtitle"/>
    <w:basedOn w:val="637"/>
    <w:next w:val="63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40"/>
    <w:link w:val="36"/>
    <w:uiPriority w:val="11"/>
    <w:rPr>
      <w:sz w:val="24"/>
      <w:szCs w:val="24"/>
    </w:rPr>
  </w:style>
  <w:style w:type="paragraph" w:styleId="38">
    <w:name w:val="Quote"/>
    <w:basedOn w:val="637"/>
    <w:next w:val="63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37"/>
    <w:next w:val="63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3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40"/>
    <w:link w:val="42"/>
    <w:uiPriority w:val="99"/>
  </w:style>
  <w:style w:type="paragraph" w:styleId="44">
    <w:name w:val="Footer"/>
    <w:basedOn w:val="63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40"/>
    <w:link w:val="44"/>
    <w:uiPriority w:val="99"/>
  </w:style>
  <w:style w:type="paragraph" w:styleId="46">
    <w:name w:val="Caption"/>
    <w:basedOn w:val="637"/>
    <w:next w:val="63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40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4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6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6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6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6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3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40"/>
    <w:uiPriority w:val="99"/>
    <w:unhideWhenUsed/>
    <w:rPr>
      <w:vertAlign w:val="superscript"/>
    </w:rPr>
  </w:style>
  <w:style w:type="paragraph" w:styleId="178">
    <w:name w:val="endnote text"/>
    <w:basedOn w:val="63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40"/>
    <w:uiPriority w:val="99"/>
    <w:semiHidden/>
    <w:unhideWhenUsed/>
    <w:rPr>
      <w:vertAlign w:val="superscript"/>
    </w:rPr>
  </w:style>
  <w:style w:type="paragraph" w:styleId="181">
    <w:name w:val="toc 1"/>
    <w:basedOn w:val="637"/>
    <w:next w:val="63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37"/>
    <w:next w:val="63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37"/>
    <w:next w:val="63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37"/>
    <w:next w:val="63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37"/>
    <w:next w:val="63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37"/>
    <w:next w:val="63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37"/>
    <w:next w:val="63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37"/>
    <w:next w:val="63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37"/>
    <w:next w:val="63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37"/>
    <w:next w:val="637"/>
    <w:uiPriority w:val="99"/>
    <w:unhideWhenUsed/>
    <w:pPr>
      <w:spacing w:after="0" w:afterAutospacing="0"/>
    </w:pPr>
  </w:style>
  <w:style w:type="paragraph" w:styleId="637" w:default="1">
    <w:name w:val="Normal"/>
    <w:qFormat/>
  </w:style>
  <w:style w:type="paragraph" w:styleId="638">
    <w:name w:val="Heading 1"/>
    <w:basedOn w:val="637"/>
    <w:link w:val="643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639">
    <w:name w:val="Heading 3"/>
    <w:basedOn w:val="637"/>
    <w:next w:val="637"/>
    <w:link w:val="648"/>
    <w:uiPriority w:val="9"/>
    <w:semiHidden/>
    <w:unhideWhenUsed/>
    <w:qFormat/>
    <w:pPr>
      <w:keepLines/>
      <w:keepNext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640" w:default="1">
    <w:name w:val="Default Paragraph Font"/>
    <w:uiPriority w:val="1"/>
    <w:semiHidden/>
    <w:unhideWhenUsed/>
  </w:style>
  <w:style w:type="table" w:styleId="6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42" w:default="1">
    <w:name w:val="No List"/>
    <w:uiPriority w:val="99"/>
    <w:semiHidden/>
    <w:unhideWhenUsed/>
  </w:style>
  <w:style w:type="character" w:styleId="643" w:customStyle="1">
    <w:name w:val="Заголовок 1 Знак"/>
    <w:basedOn w:val="640"/>
    <w:link w:val="638"/>
    <w:uiPriority w:val="9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644">
    <w:name w:val="Normal (Web)"/>
    <w:basedOn w:val="637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45">
    <w:name w:val="Strong"/>
    <w:basedOn w:val="640"/>
    <w:uiPriority w:val="22"/>
    <w:qFormat/>
    <w:rPr>
      <w:b/>
      <w:bCs/>
    </w:rPr>
  </w:style>
  <w:style w:type="character" w:styleId="646">
    <w:name w:val="Hyperlink"/>
    <w:basedOn w:val="640"/>
    <w:uiPriority w:val="99"/>
    <w:semiHidden/>
    <w:unhideWhenUsed/>
    <w:rPr>
      <w:color w:val="0000ff"/>
      <w:u w:val="single"/>
    </w:rPr>
  </w:style>
  <w:style w:type="paragraph" w:styleId="647" w:customStyle="1">
    <w:name w:val="dt-p"/>
    <w:basedOn w:val="63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48" w:customStyle="1">
    <w:name w:val="Заголовок 3 Знак"/>
    <w:basedOn w:val="640"/>
    <w:link w:val="639"/>
    <w:uiPriority w:val="9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649" w:customStyle="1">
    <w:name w:val="dt-r"/>
    <w:basedOn w:val="640"/>
  </w:style>
  <w:style w:type="character" w:styleId="650" w:customStyle="1">
    <w:name w:val="dt-m"/>
    <w:basedOn w:val="640"/>
  </w:style>
  <w:style w:type="paragraph" w:styleId="651">
    <w:name w:val="List Paragraph"/>
    <w:basedOn w:val="637"/>
    <w:uiPriority w:val="34"/>
    <w:qFormat/>
    <w:pPr>
      <w:contextualSpacing/>
      <w:ind w:left="720"/>
    </w:pPr>
  </w:style>
  <w:style w:type="character" w:styleId="652" w:customStyle="1">
    <w:name w:val="js-doc-mark"/>
    <w:basedOn w:val="640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normativ.kontur.ru/document?moduleId=1&amp;documentId=504709" TargetMode="External"/><Relationship Id="rId10" Type="http://schemas.openxmlformats.org/officeDocument/2006/relationships/hyperlink" Target="https://normativ.kontur.ru/document?moduleId=1&amp;documentId=504709" TargetMode="External"/><Relationship Id="rId11" Type="http://schemas.openxmlformats.org/officeDocument/2006/relationships/hyperlink" Target="https://normativ.kontur.ru/document?moduleId=1&amp;documentId=504709" TargetMode="External"/><Relationship Id="rId12" Type="http://schemas.openxmlformats.org/officeDocument/2006/relationships/hyperlink" Target="https://normativ.kontur.ru/document?moduleId=1&amp;documentId=504709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vaganova</dc:creator>
  <cp:keywords/>
  <dc:description/>
  <cp:lastModifiedBy>Econom</cp:lastModifiedBy>
  <cp:revision>10</cp:revision>
  <dcterms:created xsi:type="dcterms:W3CDTF">2026-05-22T01:08:00Z</dcterms:created>
  <dcterms:modified xsi:type="dcterms:W3CDTF">2026-05-25T02:31:08Z</dcterms:modified>
</cp:coreProperties>
</file>